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41"/>
        <w:tblW w:w="12729" w:type="dxa"/>
        <w:tblLayout w:type="fixed"/>
        <w:tblCellMar>
          <w:left w:w="0" w:type="dxa"/>
          <w:right w:w="0" w:type="dxa"/>
        </w:tblCellMar>
        <w:tblLook w:val="04A0" w:firstRow="1" w:lastRow="0" w:firstColumn="1" w:lastColumn="0" w:noHBand="0" w:noVBand="1"/>
      </w:tblPr>
      <w:tblGrid>
        <w:gridCol w:w="1397"/>
        <w:gridCol w:w="2669"/>
        <w:gridCol w:w="228"/>
        <w:gridCol w:w="4187"/>
        <w:gridCol w:w="2748"/>
        <w:gridCol w:w="1450"/>
        <w:gridCol w:w="50"/>
      </w:tblGrid>
      <w:tr w:rsidR="00CC3084" w:rsidRPr="007212EC" w14:paraId="458E785E" w14:textId="77777777" w:rsidTr="00004D12">
        <w:trPr>
          <w:gridAfter w:val="1"/>
          <w:wAfter w:w="50" w:type="dxa"/>
          <w:trHeight w:val="10"/>
        </w:trPr>
        <w:tc>
          <w:tcPr>
            <w:tcW w:w="12679" w:type="dxa"/>
            <w:gridSpan w:val="6"/>
            <w:tcBorders>
              <w:top w:val="thickThinSmallGap" w:sz="24" w:space="0" w:color="auto"/>
              <w:left w:val="nil"/>
              <w:bottom w:val="nil"/>
              <w:right w:val="nil"/>
            </w:tcBorders>
            <w:vAlign w:val="center"/>
          </w:tcPr>
          <w:p w14:paraId="780A7DF1" w14:textId="77777777" w:rsidR="00CC3084" w:rsidRPr="007212EC" w:rsidRDefault="00CC3084" w:rsidP="00CC3084">
            <w:pPr>
              <w:pStyle w:val="NoSpacing"/>
            </w:pPr>
            <w:bookmarkStart w:id="0" w:name="_Hlk70340518"/>
            <w:bookmarkEnd w:id="0"/>
          </w:p>
        </w:tc>
      </w:tr>
      <w:tr w:rsidR="00A32593" w:rsidRPr="007212EC" w14:paraId="3F611B03" w14:textId="77777777" w:rsidTr="00004D12">
        <w:trPr>
          <w:trHeight w:val="1252"/>
        </w:trPr>
        <w:tc>
          <w:tcPr>
            <w:tcW w:w="1397" w:type="dxa"/>
            <w:tcBorders>
              <w:top w:val="nil"/>
              <w:left w:val="nil"/>
              <w:bottom w:val="nil"/>
              <w:right w:val="single" w:sz="4" w:space="0" w:color="auto"/>
            </w:tcBorders>
            <w:vAlign w:val="center"/>
          </w:tcPr>
          <w:p w14:paraId="0AB15491" w14:textId="77777777" w:rsidR="00155F6C" w:rsidRDefault="00155F6C" w:rsidP="00CC3084">
            <w:pPr>
              <w:pStyle w:val="MastheadCopy"/>
            </w:pPr>
            <w:r>
              <w:t>June</w:t>
            </w:r>
          </w:p>
          <w:p w14:paraId="05AC84B2" w14:textId="1CC69E3D" w:rsidR="00CC3084" w:rsidRPr="00F7629D" w:rsidRDefault="00CC3084" w:rsidP="00CC3084">
            <w:pPr>
              <w:pStyle w:val="MastheadCopy"/>
            </w:pPr>
            <w:r>
              <w:t>202</w:t>
            </w:r>
            <w:r w:rsidR="004D5B9C">
              <w:t>1</w:t>
            </w:r>
            <w:r w:rsidRPr="00F7629D">
              <w:t xml:space="preserve"> </w:t>
            </w:r>
          </w:p>
        </w:tc>
        <w:tc>
          <w:tcPr>
            <w:tcW w:w="9832" w:type="dxa"/>
            <w:gridSpan w:val="4"/>
            <w:tcBorders>
              <w:top w:val="nil"/>
              <w:left w:val="single" w:sz="4" w:space="0" w:color="auto"/>
              <w:bottom w:val="nil"/>
              <w:right w:val="single" w:sz="4" w:space="0" w:color="auto"/>
            </w:tcBorders>
            <w:vAlign w:val="center"/>
          </w:tcPr>
          <w:p w14:paraId="466B4C46" w14:textId="297BAA6B" w:rsidR="00CC3084" w:rsidRPr="007212EC" w:rsidRDefault="00CC3084" w:rsidP="00CC3084">
            <w:pPr>
              <w:pStyle w:val="MastheadTItle"/>
            </w:pPr>
            <w:r>
              <w:t>Fact Check</w:t>
            </w:r>
          </w:p>
          <w:p w14:paraId="1D59E855" w14:textId="693F360C" w:rsidR="00CC3084" w:rsidRPr="007212EC" w:rsidRDefault="00CC3084" w:rsidP="00CC3084">
            <w:pPr>
              <w:pStyle w:val="MastheadSubtitle"/>
              <w:rPr>
                <w:color w:val="000000" w:themeColor="text1"/>
                <w:sz w:val="52"/>
                <w:szCs w:val="52"/>
              </w:rPr>
            </w:pPr>
            <w:r w:rsidRPr="00F06463">
              <w:rPr>
                <w:color w:val="000000" w:themeColor="text1"/>
                <w:sz w:val="44"/>
                <w:szCs w:val="44"/>
              </w:rPr>
              <w:t>Pensions are More Efficient than 401(k)s</w:t>
            </w:r>
          </w:p>
        </w:tc>
        <w:tc>
          <w:tcPr>
            <w:tcW w:w="1500" w:type="dxa"/>
            <w:gridSpan w:val="2"/>
            <w:tcBorders>
              <w:top w:val="nil"/>
              <w:left w:val="single" w:sz="4" w:space="0" w:color="auto"/>
              <w:bottom w:val="nil"/>
              <w:right w:val="nil"/>
            </w:tcBorders>
            <w:vAlign w:val="center"/>
          </w:tcPr>
          <w:p w14:paraId="42428805" w14:textId="527D5058" w:rsidR="00CC3084" w:rsidRDefault="00CC3084" w:rsidP="00CC3084">
            <w:pPr>
              <w:pStyle w:val="MastheadCopy"/>
            </w:pPr>
            <w:r w:rsidRPr="00F7629D">
              <w:t xml:space="preserve"> </w:t>
            </w:r>
            <w:r w:rsidR="00155F6C">
              <w:t>Fact Check</w:t>
            </w:r>
          </w:p>
          <w:p w14:paraId="1D32C29F" w14:textId="4BE0B07A" w:rsidR="00155F6C" w:rsidRPr="00F7629D" w:rsidRDefault="00155F6C" w:rsidP="00CC3084">
            <w:pPr>
              <w:pStyle w:val="MastheadCopy"/>
            </w:pPr>
            <w:r>
              <w:t>#</w:t>
            </w:r>
            <w:r w:rsidR="00BF014A">
              <w:t>4</w:t>
            </w:r>
          </w:p>
        </w:tc>
      </w:tr>
      <w:tr w:rsidR="00CC3084" w:rsidRPr="007212EC" w14:paraId="0309D929" w14:textId="77777777" w:rsidTr="00004D12">
        <w:trPr>
          <w:gridAfter w:val="1"/>
          <w:wAfter w:w="50" w:type="dxa"/>
          <w:trHeight w:val="87"/>
        </w:trPr>
        <w:tc>
          <w:tcPr>
            <w:tcW w:w="12679" w:type="dxa"/>
            <w:gridSpan w:val="6"/>
            <w:tcBorders>
              <w:top w:val="nil"/>
              <w:left w:val="nil"/>
              <w:bottom w:val="thinThickSmallGap" w:sz="24" w:space="0" w:color="auto"/>
              <w:right w:val="nil"/>
            </w:tcBorders>
            <w:vAlign w:val="center"/>
          </w:tcPr>
          <w:p w14:paraId="0B562659" w14:textId="77777777" w:rsidR="00CC3084" w:rsidRPr="007212EC" w:rsidRDefault="00CC3084" w:rsidP="00CC3084">
            <w:pPr>
              <w:pStyle w:val="NoSpacing"/>
            </w:pPr>
          </w:p>
        </w:tc>
      </w:tr>
      <w:tr w:rsidR="00CC3084" w:rsidRPr="007212EC" w14:paraId="4C47436F" w14:textId="77777777" w:rsidTr="00004D12">
        <w:trPr>
          <w:gridAfter w:val="1"/>
          <w:wAfter w:w="50" w:type="dxa"/>
          <w:trHeight w:val="109"/>
        </w:trPr>
        <w:tc>
          <w:tcPr>
            <w:tcW w:w="12679" w:type="dxa"/>
            <w:gridSpan w:val="6"/>
            <w:tcBorders>
              <w:top w:val="thinThickSmallGap" w:sz="24" w:space="0" w:color="auto"/>
              <w:left w:val="nil"/>
              <w:bottom w:val="nil"/>
              <w:right w:val="nil"/>
            </w:tcBorders>
            <w:vAlign w:val="center"/>
          </w:tcPr>
          <w:p w14:paraId="2BDCAF8B" w14:textId="77777777" w:rsidR="00CC3084" w:rsidRPr="007212EC" w:rsidRDefault="00CC3084" w:rsidP="00CC3084">
            <w:pPr>
              <w:pStyle w:val="NoSpacing"/>
            </w:pPr>
          </w:p>
        </w:tc>
      </w:tr>
      <w:tr w:rsidR="00004D12" w:rsidRPr="007212EC" w14:paraId="0E4FF230" w14:textId="77777777" w:rsidTr="00004D12">
        <w:trPr>
          <w:gridAfter w:val="1"/>
          <w:wAfter w:w="50" w:type="dxa"/>
          <w:trHeight w:val="3424"/>
        </w:trPr>
        <w:tc>
          <w:tcPr>
            <w:tcW w:w="4066" w:type="dxa"/>
            <w:gridSpan w:val="2"/>
            <w:vMerge w:val="restart"/>
            <w:tcBorders>
              <w:top w:val="nil"/>
              <w:left w:val="nil"/>
              <w:bottom w:val="nil"/>
              <w:right w:val="nil"/>
            </w:tcBorders>
          </w:tcPr>
          <w:p w14:paraId="555364A2" w14:textId="117C3EC0" w:rsidR="00CC3084" w:rsidRPr="003A3639" w:rsidRDefault="00CC3084" w:rsidP="00CC3084">
            <w:pPr>
              <w:pStyle w:val="SmallArticleTitle"/>
              <w:rPr>
                <w:sz w:val="34"/>
                <w:szCs w:val="34"/>
              </w:rPr>
            </w:pPr>
            <w:r w:rsidRPr="003A3639">
              <w:rPr>
                <w:sz w:val="34"/>
                <w:szCs w:val="34"/>
              </w:rPr>
              <w:t>DB Plan</w:t>
            </w:r>
            <w:r w:rsidR="003A3639">
              <w:rPr>
                <w:sz w:val="34"/>
                <w:szCs w:val="34"/>
              </w:rPr>
              <w:t xml:space="preserve"> </w:t>
            </w:r>
            <w:r w:rsidR="0084304F">
              <w:rPr>
                <w:sz w:val="34"/>
                <w:szCs w:val="34"/>
              </w:rPr>
              <w:t>up to</w:t>
            </w:r>
            <w:r w:rsidR="003A3639">
              <w:rPr>
                <w:sz w:val="34"/>
                <w:szCs w:val="34"/>
              </w:rPr>
              <w:t xml:space="preserve"> </w:t>
            </w:r>
            <w:r w:rsidR="003A3639" w:rsidRPr="003A3639">
              <w:rPr>
                <w:sz w:val="34"/>
                <w:szCs w:val="34"/>
              </w:rPr>
              <w:t xml:space="preserve">48% Cheaper </w:t>
            </w:r>
            <w:r w:rsidR="00203933">
              <w:rPr>
                <w:sz w:val="34"/>
                <w:szCs w:val="34"/>
              </w:rPr>
              <w:t xml:space="preserve">to run </w:t>
            </w:r>
            <w:r w:rsidR="003A3639" w:rsidRPr="003A3639">
              <w:rPr>
                <w:sz w:val="34"/>
                <w:szCs w:val="34"/>
              </w:rPr>
              <w:t xml:space="preserve">than </w:t>
            </w:r>
            <w:r w:rsidR="003A3639">
              <w:rPr>
                <w:sz w:val="34"/>
                <w:szCs w:val="34"/>
              </w:rPr>
              <w:t>4</w:t>
            </w:r>
            <w:r w:rsidR="003A3639" w:rsidRPr="003A3639">
              <w:rPr>
                <w:sz w:val="34"/>
                <w:szCs w:val="34"/>
              </w:rPr>
              <w:t>01(k)</w:t>
            </w:r>
            <w:r w:rsidR="00203933">
              <w:rPr>
                <w:sz w:val="34"/>
                <w:szCs w:val="34"/>
              </w:rPr>
              <w:t>s</w:t>
            </w:r>
          </w:p>
          <w:p w14:paraId="25A5FC7E" w14:textId="77777777" w:rsidR="00CC3084" w:rsidRDefault="00CC3084" w:rsidP="00CC3084">
            <w:pPr>
              <w:pStyle w:val="NoSpacing"/>
            </w:pPr>
          </w:p>
          <w:p w14:paraId="6BD4316E" w14:textId="702B8564" w:rsidR="00CC3084" w:rsidRPr="005C4A4D" w:rsidRDefault="00CC3084" w:rsidP="00CC3084">
            <w:pPr>
              <w:spacing w:after="240"/>
            </w:pPr>
            <w:r w:rsidRPr="005C4A4D">
              <w:t xml:space="preserve">A public DB </w:t>
            </w:r>
            <w:r w:rsidR="0093560C">
              <w:t xml:space="preserve">pension </w:t>
            </w:r>
            <w:r w:rsidRPr="005C4A4D">
              <w:t xml:space="preserve">plan allows large numbers of people to invest for the average life expectancy of a </w:t>
            </w:r>
            <w:r w:rsidRPr="005330B3">
              <w:rPr>
                <w:i/>
                <w:iCs/>
              </w:rPr>
              <w:t>group</w:t>
            </w:r>
            <w:r w:rsidRPr="005C4A4D">
              <w:t xml:space="preserve"> and always has new contributors to offset </w:t>
            </w:r>
            <w:r w:rsidR="005330B3">
              <w:t>mortality tables</w:t>
            </w:r>
            <w:r w:rsidRPr="005C4A4D">
              <w:t>. A 10% savings.</w:t>
            </w:r>
          </w:p>
          <w:p w14:paraId="467949FD" w14:textId="6429E2AF" w:rsidR="00CC3084" w:rsidRPr="005C4A4D" w:rsidRDefault="00CC3084" w:rsidP="00CC3084">
            <w:pPr>
              <w:spacing w:after="240"/>
            </w:pPr>
            <w:r w:rsidRPr="005C4A4D">
              <w:t>P</w:t>
            </w:r>
            <w:r w:rsidR="0093560C">
              <w:t>ublic p</w:t>
            </w:r>
            <w:r w:rsidRPr="005C4A4D">
              <w:t>ension plans are ageless. They operate in perpetuity and so they can achieve a more balanced portfolio over time. Individuals must move assets to less profitable investments as retirement nears. This accounts for a 11% cost savings.</w:t>
            </w:r>
          </w:p>
          <w:p w14:paraId="361840A8" w14:textId="77777777" w:rsidR="00CC3084" w:rsidRPr="005C4A4D" w:rsidRDefault="00CC3084" w:rsidP="00CC3084">
            <w:pPr>
              <w:spacing w:after="240"/>
            </w:pPr>
            <w:r w:rsidRPr="005C4A4D">
              <w:t>Pension plans achieve higher investment returns as compared to individual investors, because they have lower fees and are managed by investment professionals. This generates a 27% cost savings.</w:t>
            </w:r>
          </w:p>
          <w:p w14:paraId="3E26BF6F" w14:textId="4C3D3016" w:rsidR="00CC3084" w:rsidRDefault="00CC3084" w:rsidP="00CC3084">
            <w:pPr>
              <w:spacing w:after="240"/>
            </w:pPr>
            <w:r w:rsidRPr="005C4A4D">
              <w:t xml:space="preserve">About 60% of every retiree </w:t>
            </w:r>
            <w:r w:rsidR="00B3354A">
              <w:t xml:space="preserve">benefit </w:t>
            </w:r>
            <w:r w:rsidRPr="005C4A4D">
              <w:t>check is paid</w:t>
            </w:r>
            <w:r w:rsidR="00B3354A">
              <w:t xml:space="preserve"> for with earnings on</w:t>
            </w:r>
            <w:r w:rsidRPr="005C4A4D">
              <w:t xml:space="preserve"> the fund, 27% </w:t>
            </w:r>
            <w:r w:rsidR="00B3354A">
              <w:t xml:space="preserve">with </w:t>
            </w:r>
            <w:r w:rsidRPr="005C4A4D">
              <w:t xml:space="preserve">dollars allocated </w:t>
            </w:r>
            <w:r w:rsidR="00B3354A">
              <w:t>by the plan sponsor (as</w:t>
            </w:r>
            <w:r w:rsidRPr="005C4A4D">
              <w:t xml:space="preserve"> </w:t>
            </w:r>
            <w:r w:rsidRPr="00B3354A">
              <w:rPr>
                <w:iCs/>
              </w:rPr>
              <w:t>deferred</w:t>
            </w:r>
            <w:r w:rsidRPr="005C4A4D">
              <w:rPr>
                <w:i/>
              </w:rPr>
              <w:t xml:space="preserve"> </w:t>
            </w:r>
            <w:r w:rsidRPr="005C4A4D">
              <w:t>compensation</w:t>
            </w:r>
            <w:r w:rsidR="00B3354A">
              <w:t xml:space="preserve"> to employees), and with 1</w:t>
            </w:r>
            <w:r w:rsidRPr="005C4A4D">
              <w:t xml:space="preserve">3% </w:t>
            </w:r>
            <w:r w:rsidR="00B3354A">
              <w:t>from employee contributions.</w:t>
            </w:r>
          </w:p>
          <w:p w14:paraId="4271B828" w14:textId="2E0F5DCE" w:rsidR="00D3544A" w:rsidRDefault="00B3354A" w:rsidP="00CC3084">
            <w:pPr>
              <w:spacing w:after="240"/>
            </w:pPr>
            <w:r>
              <w:rPr>
                <w:noProof/>
              </w:rPr>
              <w:drawing>
                <wp:inline distT="0" distB="0" distL="0" distR="0" wp14:anchorId="1E8E7A2F" wp14:editId="5AF22873">
                  <wp:extent cx="2419350" cy="3017522"/>
                  <wp:effectExtent l="0" t="0" r="0" b="0"/>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995" cy="3022068"/>
                          </a:xfrm>
                          <a:prstGeom prst="rect">
                            <a:avLst/>
                          </a:prstGeom>
                        </pic:spPr>
                      </pic:pic>
                    </a:graphicData>
                  </a:graphic>
                </wp:inline>
              </w:drawing>
            </w:r>
          </w:p>
          <w:p w14:paraId="2F72A949" w14:textId="77777777" w:rsidR="00B3354A" w:rsidRDefault="00B3354A" w:rsidP="00CC3084">
            <w:pPr>
              <w:rPr>
                <w:i/>
                <w:iCs/>
                <w:color w:val="000000" w:themeColor="text1"/>
                <w:sz w:val="20"/>
                <w:szCs w:val="18"/>
              </w:rPr>
            </w:pPr>
          </w:p>
          <w:p w14:paraId="33439B19" w14:textId="05F8A8DC" w:rsidR="00CC3084" w:rsidRDefault="00CC2933" w:rsidP="00CC3084">
            <w:pPr>
              <w:rPr>
                <w:i/>
                <w:iCs/>
                <w:color w:val="000000" w:themeColor="text1"/>
                <w:sz w:val="20"/>
                <w:szCs w:val="18"/>
              </w:rPr>
            </w:pPr>
            <w:r>
              <w:rPr>
                <w:i/>
                <w:iCs/>
                <w:color w:val="000000" w:themeColor="text1"/>
                <w:sz w:val="20"/>
                <w:szCs w:val="18"/>
              </w:rPr>
              <w:t xml:space="preserve">Far from crowding out other services, public </w:t>
            </w:r>
          </w:p>
          <w:p w14:paraId="08BAC2EA" w14:textId="77777777" w:rsidR="00CC2933" w:rsidRDefault="00CC2933" w:rsidP="00CC3084">
            <w:pPr>
              <w:rPr>
                <w:i/>
                <w:iCs/>
                <w:color w:val="000000" w:themeColor="text1"/>
                <w:sz w:val="20"/>
                <w:szCs w:val="18"/>
              </w:rPr>
            </w:pPr>
            <w:r>
              <w:rPr>
                <w:i/>
                <w:iCs/>
                <w:color w:val="000000" w:themeColor="text1"/>
                <w:sz w:val="20"/>
                <w:szCs w:val="18"/>
              </w:rPr>
              <w:t>pension plans only account for 3-5% of total</w:t>
            </w:r>
          </w:p>
          <w:p w14:paraId="7A301425" w14:textId="48C7A55F" w:rsidR="00CC2933" w:rsidRDefault="00CC2933" w:rsidP="00CC3084">
            <w:pPr>
              <w:rPr>
                <w:i/>
                <w:iCs/>
                <w:color w:val="000000" w:themeColor="text1"/>
                <w:sz w:val="20"/>
                <w:szCs w:val="18"/>
              </w:rPr>
            </w:pPr>
            <w:r>
              <w:rPr>
                <w:i/>
                <w:iCs/>
                <w:color w:val="000000" w:themeColor="text1"/>
                <w:sz w:val="20"/>
                <w:szCs w:val="18"/>
              </w:rPr>
              <w:t>budget. Source: National Association of State</w:t>
            </w:r>
          </w:p>
          <w:p w14:paraId="1F0C5051" w14:textId="77777777" w:rsidR="00CC2933" w:rsidRDefault="00CC2933" w:rsidP="00CC3084">
            <w:pPr>
              <w:rPr>
                <w:i/>
                <w:iCs/>
                <w:color w:val="000000" w:themeColor="text1"/>
                <w:sz w:val="20"/>
                <w:szCs w:val="18"/>
              </w:rPr>
            </w:pPr>
            <w:r>
              <w:rPr>
                <w:i/>
                <w:iCs/>
                <w:color w:val="000000" w:themeColor="text1"/>
                <w:sz w:val="20"/>
                <w:szCs w:val="18"/>
              </w:rPr>
              <w:t>Retirement Administrators, 2018.</w:t>
            </w:r>
          </w:p>
          <w:p w14:paraId="6F8AD173" w14:textId="4A8AADD6" w:rsidR="00A32593" w:rsidRPr="00CC2933" w:rsidRDefault="00A32593" w:rsidP="00CC3084">
            <w:pPr>
              <w:rPr>
                <w:i/>
                <w:iCs/>
                <w:color w:val="000000" w:themeColor="text1"/>
                <w:sz w:val="20"/>
                <w:szCs w:val="18"/>
              </w:rPr>
            </w:pPr>
          </w:p>
        </w:tc>
        <w:tc>
          <w:tcPr>
            <w:tcW w:w="228" w:type="dxa"/>
            <w:tcBorders>
              <w:top w:val="nil"/>
              <w:left w:val="nil"/>
              <w:bottom w:val="nil"/>
              <w:right w:val="nil"/>
            </w:tcBorders>
            <w:vAlign w:val="center"/>
          </w:tcPr>
          <w:p w14:paraId="3B921799" w14:textId="77777777" w:rsidR="00CC3084" w:rsidRPr="007212EC" w:rsidRDefault="00CC3084" w:rsidP="00CC3084">
            <w:pPr>
              <w:jc w:val="center"/>
              <w:rPr>
                <w:color w:val="000000" w:themeColor="text1"/>
              </w:rPr>
            </w:pPr>
          </w:p>
        </w:tc>
        <w:tc>
          <w:tcPr>
            <w:tcW w:w="8385" w:type="dxa"/>
            <w:gridSpan w:val="3"/>
            <w:tcBorders>
              <w:top w:val="nil"/>
              <w:left w:val="nil"/>
              <w:bottom w:val="nil"/>
              <w:right w:val="nil"/>
            </w:tcBorders>
          </w:tcPr>
          <w:p w14:paraId="6EA014EE" w14:textId="77777777" w:rsidR="00CC3084" w:rsidRPr="007212EC" w:rsidRDefault="00CC3084" w:rsidP="00CC3084">
            <w:pPr>
              <w:pStyle w:val="NoSpacing"/>
              <w:rPr>
                <w:rFonts w:asciiTheme="majorHAnsi" w:hAnsiTheme="majorHAnsi"/>
                <w:color w:val="000000" w:themeColor="text1"/>
                <w:sz w:val="36"/>
                <w:szCs w:val="36"/>
              </w:rPr>
            </w:pPr>
            <w:r>
              <w:rPr>
                <w:rFonts w:asciiTheme="majorHAnsi" w:hAnsiTheme="majorHAnsi"/>
                <w:noProof/>
                <w:color w:val="000000" w:themeColor="text1"/>
                <w:sz w:val="36"/>
                <w:szCs w:val="36"/>
              </w:rPr>
              <w:drawing>
                <wp:inline distT="0" distB="0" distL="0" distR="0" wp14:anchorId="7FB6D4BD" wp14:editId="0F5C7F2B">
                  <wp:extent cx="5410148" cy="3305175"/>
                  <wp:effectExtent l="0" t="0" r="635" b="0"/>
                  <wp:docPr id="5" name="Video 5" descr="David Cay Johnst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David Cay Johnston">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518285444?app_id=122963&quot; width=&quot;640&quot; height=&quot;360&quot; frameborder=&quot;0&quot; allow=&quot;autoplay; fullscreen; picture-in-picture&quot; allowfullscreen=&quot;&quot; title=&quot;David Cay Johnston&quot; sandbox=&quot;allow-scripts allow-same-origin&quot;&gt;&lt;/iframe&gt;" h="360" w="640"/>
                              </a:ext>
                            </a:extLst>
                          </a:blip>
                          <a:stretch>
                            <a:fillRect/>
                          </a:stretch>
                        </pic:blipFill>
                        <pic:spPr>
                          <a:xfrm>
                            <a:off x="0" y="0"/>
                            <a:ext cx="5450640" cy="3329913"/>
                          </a:xfrm>
                          <a:prstGeom prst="rect">
                            <a:avLst/>
                          </a:prstGeom>
                        </pic:spPr>
                      </pic:pic>
                    </a:graphicData>
                  </a:graphic>
                </wp:inline>
              </w:drawing>
            </w:r>
          </w:p>
        </w:tc>
      </w:tr>
      <w:tr w:rsidR="00004D12" w:rsidRPr="007212EC" w14:paraId="50FCB83C" w14:textId="77777777" w:rsidTr="00004D12">
        <w:trPr>
          <w:gridAfter w:val="1"/>
          <w:wAfter w:w="50" w:type="dxa"/>
          <w:trHeight w:val="451"/>
        </w:trPr>
        <w:tc>
          <w:tcPr>
            <w:tcW w:w="4066" w:type="dxa"/>
            <w:gridSpan w:val="2"/>
            <w:vMerge/>
            <w:tcBorders>
              <w:top w:val="nil"/>
              <w:left w:val="nil"/>
              <w:bottom w:val="nil"/>
              <w:right w:val="nil"/>
            </w:tcBorders>
          </w:tcPr>
          <w:p w14:paraId="2C0ADB81" w14:textId="77777777" w:rsidR="00CC3084" w:rsidRPr="007212EC" w:rsidRDefault="00CC3084" w:rsidP="00CC3084">
            <w:pPr>
              <w:pStyle w:val="PhotoCaption"/>
              <w:rPr>
                <w:color w:val="000000" w:themeColor="text1"/>
              </w:rPr>
            </w:pPr>
          </w:p>
        </w:tc>
        <w:tc>
          <w:tcPr>
            <w:tcW w:w="228" w:type="dxa"/>
            <w:vMerge w:val="restart"/>
            <w:tcBorders>
              <w:top w:val="nil"/>
              <w:left w:val="nil"/>
              <w:right w:val="nil"/>
            </w:tcBorders>
            <w:vAlign w:val="center"/>
          </w:tcPr>
          <w:p w14:paraId="3793A2F4" w14:textId="087AA3C9" w:rsidR="00CC3084" w:rsidRPr="007212EC" w:rsidRDefault="00CC3084" w:rsidP="00CC3084">
            <w:pPr>
              <w:jc w:val="center"/>
              <w:rPr>
                <w:color w:val="000000" w:themeColor="text1"/>
              </w:rPr>
            </w:pPr>
          </w:p>
        </w:tc>
        <w:tc>
          <w:tcPr>
            <w:tcW w:w="8385" w:type="dxa"/>
            <w:gridSpan w:val="3"/>
            <w:tcBorders>
              <w:top w:val="nil"/>
              <w:left w:val="nil"/>
              <w:bottom w:val="nil"/>
              <w:right w:val="nil"/>
            </w:tcBorders>
            <w:vAlign w:val="center"/>
          </w:tcPr>
          <w:p w14:paraId="1DB59A25" w14:textId="77777777" w:rsidR="00CC2933" w:rsidRDefault="00CC2933" w:rsidP="00CC3084">
            <w:pPr>
              <w:pStyle w:val="PhotoCaption"/>
              <w:rPr>
                <w:i/>
                <w:iCs/>
              </w:rPr>
            </w:pPr>
          </w:p>
          <w:p w14:paraId="35DF423C" w14:textId="2C929484" w:rsidR="00CC3084" w:rsidRPr="00F963ED" w:rsidRDefault="00CC3084" w:rsidP="00CC3084">
            <w:pPr>
              <w:pStyle w:val="PhotoCaption"/>
            </w:pPr>
            <w:r w:rsidRPr="004D5B9C">
              <w:rPr>
                <w:i/>
                <w:iCs/>
                <w:sz w:val="20"/>
                <w:szCs w:val="24"/>
              </w:rPr>
              <w:t>David Cay Johnston is an investigative journalist and author, specializing in economic and tax issues, and the winner of the 2001 Pulitzer Prize for Beat Reporting.</w:t>
            </w:r>
          </w:p>
        </w:tc>
      </w:tr>
      <w:tr w:rsidR="00004D12" w:rsidRPr="007212EC" w14:paraId="77D9575D" w14:textId="77777777" w:rsidTr="00004D12">
        <w:trPr>
          <w:gridAfter w:val="1"/>
          <w:wAfter w:w="50" w:type="dxa"/>
          <w:trHeight w:val="1431"/>
        </w:trPr>
        <w:tc>
          <w:tcPr>
            <w:tcW w:w="4066" w:type="dxa"/>
            <w:gridSpan w:val="2"/>
            <w:vMerge/>
            <w:tcBorders>
              <w:top w:val="nil"/>
              <w:left w:val="nil"/>
              <w:bottom w:val="nil"/>
              <w:right w:val="nil"/>
            </w:tcBorders>
          </w:tcPr>
          <w:p w14:paraId="0A34B7BB" w14:textId="77777777" w:rsidR="00CC3084" w:rsidRPr="007212EC" w:rsidRDefault="00CC3084" w:rsidP="00CC3084">
            <w:pPr>
              <w:pStyle w:val="PhotoCaption"/>
              <w:rPr>
                <w:color w:val="000000" w:themeColor="text1"/>
              </w:rPr>
            </w:pPr>
          </w:p>
        </w:tc>
        <w:tc>
          <w:tcPr>
            <w:tcW w:w="228" w:type="dxa"/>
            <w:vMerge/>
            <w:tcBorders>
              <w:left w:val="nil"/>
              <w:right w:val="nil"/>
            </w:tcBorders>
            <w:vAlign w:val="center"/>
          </w:tcPr>
          <w:p w14:paraId="237943EC" w14:textId="77777777" w:rsidR="00CC3084" w:rsidRPr="007212EC" w:rsidRDefault="00CC3084" w:rsidP="00CC3084">
            <w:pPr>
              <w:jc w:val="center"/>
              <w:rPr>
                <w:color w:val="000000" w:themeColor="text1"/>
              </w:rPr>
            </w:pPr>
          </w:p>
        </w:tc>
        <w:tc>
          <w:tcPr>
            <w:tcW w:w="8385" w:type="dxa"/>
            <w:gridSpan w:val="3"/>
            <w:tcBorders>
              <w:top w:val="nil"/>
              <w:left w:val="nil"/>
              <w:bottom w:val="nil"/>
              <w:right w:val="nil"/>
            </w:tcBorders>
            <w:vAlign w:val="center"/>
          </w:tcPr>
          <w:p w14:paraId="7E2F770B" w14:textId="77777777" w:rsidR="00CC3084" w:rsidRDefault="00CC3084" w:rsidP="00CC3084">
            <w:pPr>
              <w:pStyle w:val="NoSpacing"/>
            </w:pPr>
          </w:p>
          <w:p w14:paraId="7DF6D7AE" w14:textId="4C364F8B" w:rsidR="00CC3084" w:rsidRPr="00F239F3" w:rsidRDefault="00CC3084" w:rsidP="00CC3084">
            <w:pPr>
              <w:pStyle w:val="LargeArticleTitle"/>
              <w:rPr>
                <w:sz w:val="48"/>
                <w:szCs w:val="48"/>
              </w:rPr>
            </w:pPr>
            <w:r>
              <w:t xml:space="preserve">    </w:t>
            </w:r>
            <w:r w:rsidR="00CC2933">
              <w:t xml:space="preserve">   </w:t>
            </w:r>
            <w:r w:rsidRPr="00F239F3">
              <w:rPr>
                <w:sz w:val="48"/>
                <w:szCs w:val="48"/>
              </w:rPr>
              <w:t>Pension Funding Myths</w:t>
            </w:r>
          </w:p>
          <w:p w14:paraId="01BD23A1" w14:textId="18F075B3" w:rsidR="00CC3084" w:rsidRDefault="00CC3084" w:rsidP="00CC3084">
            <w:pPr>
              <w:pStyle w:val="SmallArticleSubtitle"/>
            </w:pPr>
            <w:r>
              <w:t xml:space="preserve">       </w:t>
            </w:r>
            <w:r w:rsidR="00A32593">
              <w:t xml:space="preserve">     </w:t>
            </w:r>
            <w:r>
              <w:t xml:space="preserve">Unfunded liabilities not the same as unfunded plans        </w:t>
            </w:r>
          </w:p>
          <w:p w14:paraId="500C7CE0" w14:textId="77777777" w:rsidR="00CC3084" w:rsidRPr="004F7974" w:rsidRDefault="00CC3084" w:rsidP="00CC3084">
            <w:pPr>
              <w:pStyle w:val="SmallArticleSubtitle"/>
              <w:rPr>
                <w:sz w:val="24"/>
                <w:szCs w:val="18"/>
              </w:rPr>
            </w:pPr>
          </w:p>
          <w:p w14:paraId="65F44C90" w14:textId="529387AB" w:rsidR="00CC3084" w:rsidRDefault="00CC3084" w:rsidP="00CC3084">
            <w:pPr>
              <w:pStyle w:val="SmallArticleSubtitle"/>
              <w:rPr>
                <w:sz w:val="24"/>
                <w:szCs w:val="18"/>
              </w:rPr>
            </w:pPr>
            <w:r>
              <w:rPr>
                <w:sz w:val="24"/>
                <w:szCs w:val="18"/>
              </w:rPr>
              <w:t xml:space="preserve">Critics often cite a public pension plan’s </w:t>
            </w:r>
            <w:r w:rsidRPr="005330B3">
              <w:rPr>
                <w:i/>
                <w:iCs/>
                <w:sz w:val="24"/>
                <w:szCs w:val="18"/>
              </w:rPr>
              <w:t>unfunded liability</w:t>
            </w:r>
            <w:r>
              <w:rPr>
                <w:sz w:val="24"/>
                <w:szCs w:val="18"/>
              </w:rPr>
              <w:t xml:space="preserve"> as an existential threat to future budgets, </w:t>
            </w:r>
            <w:r w:rsidR="005330B3">
              <w:rPr>
                <w:sz w:val="24"/>
                <w:szCs w:val="18"/>
              </w:rPr>
              <w:t>claiming it will crowd</w:t>
            </w:r>
            <w:r>
              <w:rPr>
                <w:sz w:val="24"/>
                <w:szCs w:val="18"/>
              </w:rPr>
              <w:t xml:space="preserve"> out other services, </w:t>
            </w:r>
            <w:r w:rsidR="003A67B1">
              <w:rPr>
                <w:sz w:val="24"/>
                <w:szCs w:val="18"/>
              </w:rPr>
              <w:t xml:space="preserve">and that it creates </w:t>
            </w:r>
            <w:r>
              <w:rPr>
                <w:sz w:val="24"/>
                <w:szCs w:val="18"/>
              </w:rPr>
              <w:t xml:space="preserve">an extra burden </w:t>
            </w:r>
            <w:r w:rsidR="005330B3">
              <w:rPr>
                <w:sz w:val="24"/>
                <w:szCs w:val="18"/>
              </w:rPr>
              <w:t>for</w:t>
            </w:r>
            <w:r>
              <w:rPr>
                <w:sz w:val="24"/>
                <w:szCs w:val="18"/>
              </w:rPr>
              <w:t xml:space="preserve"> taxpayers, </w:t>
            </w:r>
            <w:proofErr w:type="gramStart"/>
            <w:r>
              <w:rPr>
                <w:sz w:val="24"/>
                <w:szCs w:val="18"/>
              </w:rPr>
              <w:t xml:space="preserve">but in </w:t>
            </w:r>
            <w:r w:rsidR="00F06463">
              <w:rPr>
                <w:sz w:val="24"/>
                <w:szCs w:val="18"/>
              </w:rPr>
              <w:t>reality,</w:t>
            </w:r>
            <w:r>
              <w:rPr>
                <w:sz w:val="24"/>
                <w:szCs w:val="18"/>
              </w:rPr>
              <w:t xml:space="preserve"> an</w:t>
            </w:r>
            <w:proofErr w:type="gramEnd"/>
            <w:r>
              <w:rPr>
                <w:sz w:val="24"/>
                <w:szCs w:val="18"/>
              </w:rPr>
              <w:t xml:space="preserve"> unfunded liability is not the same as an underfunded plan. </w:t>
            </w:r>
          </w:p>
          <w:p w14:paraId="33BF7EB5" w14:textId="77777777" w:rsidR="00CC3084" w:rsidRDefault="00CC3084" w:rsidP="00CC3084">
            <w:pPr>
              <w:pStyle w:val="SmallArticleSubtitle"/>
              <w:rPr>
                <w:sz w:val="24"/>
                <w:szCs w:val="18"/>
              </w:rPr>
            </w:pPr>
          </w:p>
          <w:p w14:paraId="4FC19586" w14:textId="63308471" w:rsidR="00585904" w:rsidRDefault="003A67B1" w:rsidP="00CC3084">
            <w:pPr>
              <w:pStyle w:val="SmallArticleSubtitle"/>
              <w:rPr>
                <w:sz w:val="24"/>
                <w:szCs w:val="18"/>
              </w:rPr>
            </w:pPr>
            <w:r>
              <w:rPr>
                <w:sz w:val="24"/>
                <w:szCs w:val="18"/>
              </w:rPr>
              <w:t>Public pension plans are structured to be prefunded</w:t>
            </w:r>
            <w:r w:rsidR="00B40B05">
              <w:rPr>
                <w:sz w:val="24"/>
                <w:szCs w:val="18"/>
              </w:rPr>
              <w:t>,</w:t>
            </w:r>
            <w:r>
              <w:rPr>
                <w:sz w:val="24"/>
                <w:szCs w:val="18"/>
              </w:rPr>
              <w:t xml:space="preserve"> and they operate in perpetuity. </w:t>
            </w:r>
            <w:r w:rsidR="00CC3084" w:rsidRPr="00CC3084">
              <w:rPr>
                <w:sz w:val="24"/>
                <w:szCs w:val="18"/>
              </w:rPr>
              <w:t xml:space="preserve">An unfunded liability represents the portion of money that will be needed to pay retirement benefits to every </w:t>
            </w:r>
            <w:r w:rsidR="00D3544A">
              <w:rPr>
                <w:sz w:val="24"/>
                <w:szCs w:val="18"/>
              </w:rPr>
              <w:t xml:space="preserve">current </w:t>
            </w:r>
            <w:r w:rsidR="00D3544A" w:rsidRPr="004F0488">
              <w:rPr>
                <w:sz w:val="24"/>
                <w:szCs w:val="18"/>
                <w:u w:val="single"/>
              </w:rPr>
              <w:t>and future</w:t>
            </w:r>
            <w:r w:rsidR="00D3544A">
              <w:rPr>
                <w:sz w:val="24"/>
                <w:szCs w:val="18"/>
              </w:rPr>
              <w:t xml:space="preserve"> </w:t>
            </w:r>
            <w:r w:rsidR="00CC3084" w:rsidRPr="00CC3084">
              <w:rPr>
                <w:sz w:val="24"/>
                <w:szCs w:val="18"/>
              </w:rPr>
              <w:t xml:space="preserve">employee in the plan when they retire. </w:t>
            </w:r>
            <w:r w:rsidR="00D3544A">
              <w:rPr>
                <w:sz w:val="24"/>
                <w:szCs w:val="18"/>
              </w:rPr>
              <w:t>T</w:t>
            </w:r>
            <w:r w:rsidRPr="003A67B1">
              <w:rPr>
                <w:sz w:val="24"/>
                <w:szCs w:val="18"/>
              </w:rPr>
              <w:t>he unfunded liability represents only the money that will need to be</w:t>
            </w:r>
            <w:r w:rsidR="004F0488">
              <w:rPr>
                <w:sz w:val="24"/>
                <w:szCs w:val="18"/>
              </w:rPr>
              <w:t xml:space="preserve"> </w:t>
            </w:r>
            <w:r w:rsidRPr="003A67B1">
              <w:rPr>
                <w:sz w:val="24"/>
                <w:szCs w:val="18"/>
              </w:rPr>
              <w:t xml:space="preserve">earned or collected by the time they do. </w:t>
            </w:r>
            <w:r>
              <w:rPr>
                <w:sz w:val="24"/>
                <w:szCs w:val="18"/>
              </w:rPr>
              <w:t xml:space="preserve">New employees </w:t>
            </w:r>
            <w:r w:rsidR="004F0488">
              <w:rPr>
                <w:sz w:val="24"/>
                <w:szCs w:val="18"/>
              </w:rPr>
              <w:t xml:space="preserve">nearly </w:t>
            </w:r>
            <w:r>
              <w:rPr>
                <w:sz w:val="24"/>
                <w:szCs w:val="18"/>
              </w:rPr>
              <w:t>always replace retirees</w:t>
            </w:r>
            <w:r w:rsidR="004F0488">
              <w:rPr>
                <w:sz w:val="24"/>
                <w:szCs w:val="18"/>
              </w:rPr>
              <w:t xml:space="preserve"> in public systems</w:t>
            </w:r>
            <w:r>
              <w:rPr>
                <w:sz w:val="24"/>
                <w:szCs w:val="18"/>
              </w:rPr>
              <w:t xml:space="preserve">. </w:t>
            </w:r>
            <w:r w:rsidR="00585904">
              <w:rPr>
                <w:sz w:val="24"/>
                <w:szCs w:val="18"/>
              </w:rPr>
              <w:t>If a pension plan is 80% funded, it means the plan already has enough money to pay retirement benefits to 80% of its current</w:t>
            </w:r>
            <w:r>
              <w:rPr>
                <w:sz w:val="24"/>
                <w:szCs w:val="18"/>
              </w:rPr>
              <w:t xml:space="preserve"> and future </w:t>
            </w:r>
            <w:r w:rsidR="00585904">
              <w:rPr>
                <w:sz w:val="24"/>
                <w:szCs w:val="18"/>
              </w:rPr>
              <w:t xml:space="preserve">employees. </w:t>
            </w:r>
          </w:p>
          <w:p w14:paraId="4AFF3A59" w14:textId="77777777" w:rsidR="003A67B1" w:rsidRDefault="003A67B1" w:rsidP="00CC3084">
            <w:pPr>
              <w:pStyle w:val="SmallArticleSubtitle"/>
              <w:rPr>
                <w:sz w:val="24"/>
                <w:szCs w:val="18"/>
              </w:rPr>
            </w:pPr>
          </w:p>
          <w:p w14:paraId="0A1F8FB9" w14:textId="3B5673C9" w:rsidR="00004D12" w:rsidRPr="00004D12" w:rsidRDefault="00CC3084" w:rsidP="00CC2933">
            <w:pPr>
              <w:pStyle w:val="SmallArticleSubtitle"/>
              <w:rPr>
                <w:sz w:val="24"/>
                <w:szCs w:val="24"/>
              </w:rPr>
            </w:pPr>
            <w:r w:rsidRPr="00D3544A">
              <w:rPr>
                <w:sz w:val="24"/>
                <w:szCs w:val="24"/>
              </w:rPr>
              <w:t>An underfunded plan, on the other hand, is one that has not met or made its annual required contribution (ARC), creating instability in the fund’s ability to earn the money required to pay those benefits.</w:t>
            </w:r>
            <w:r w:rsidR="003A67B1" w:rsidRPr="00D3544A">
              <w:rPr>
                <w:sz w:val="24"/>
                <w:szCs w:val="24"/>
              </w:rPr>
              <w:t xml:space="preserve"> </w:t>
            </w:r>
            <w:r w:rsidR="00D3544A" w:rsidRPr="00D3544A">
              <w:rPr>
                <w:sz w:val="24"/>
                <w:szCs w:val="24"/>
              </w:rPr>
              <w:t xml:space="preserve"> Actuaries review the pension fund annually to determine what the ARC should be for the upcoming year and to project what it might be over the next 10-20 years. This allows the plan sponsor to adjust, in real time, to market shifts. Moreover, the ARC is calculated to achieve </w:t>
            </w:r>
            <w:r w:rsidR="00D3544A">
              <w:rPr>
                <w:sz w:val="24"/>
                <w:szCs w:val="24"/>
              </w:rPr>
              <w:t>the required earnings</w:t>
            </w:r>
            <w:r w:rsidR="00D3544A" w:rsidRPr="00D3544A">
              <w:rPr>
                <w:sz w:val="24"/>
                <w:szCs w:val="24"/>
              </w:rPr>
              <w:t xml:space="preserve"> even when confronted with negative return years. If the plan sponsor faithfully makes the</w:t>
            </w:r>
            <w:r w:rsidR="00D3544A">
              <w:rPr>
                <w:sz w:val="24"/>
                <w:szCs w:val="24"/>
              </w:rPr>
              <w:t xml:space="preserve"> annual</w:t>
            </w:r>
            <w:r w:rsidR="00D3544A" w:rsidRPr="00D3544A">
              <w:rPr>
                <w:sz w:val="24"/>
                <w:szCs w:val="24"/>
              </w:rPr>
              <w:t xml:space="preserve"> require</w:t>
            </w:r>
            <w:r w:rsidR="00004D12">
              <w:rPr>
                <w:sz w:val="24"/>
                <w:szCs w:val="24"/>
              </w:rPr>
              <w:t xml:space="preserve">d </w:t>
            </w:r>
            <w:r w:rsidR="004F0488">
              <w:rPr>
                <w:sz w:val="24"/>
                <w:szCs w:val="24"/>
              </w:rPr>
              <w:t>contribution, there is little risk of underfunding</w:t>
            </w:r>
            <w:r w:rsidR="00D3544A">
              <w:rPr>
                <w:sz w:val="24"/>
                <w:szCs w:val="24"/>
              </w:rPr>
              <w:t>.</w:t>
            </w:r>
          </w:p>
        </w:tc>
      </w:tr>
      <w:tr w:rsidR="00A32593" w:rsidRPr="007212EC" w14:paraId="4C50AE98" w14:textId="77777777" w:rsidTr="00004D12">
        <w:trPr>
          <w:gridAfter w:val="1"/>
          <w:wAfter w:w="50" w:type="dxa"/>
          <w:trHeight w:val="633"/>
        </w:trPr>
        <w:tc>
          <w:tcPr>
            <w:tcW w:w="4066" w:type="dxa"/>
            <w:gridSpan w:val="2"/>
            <w:vMerge/>
            <w:tcBorders>
              <w:top w:val="nil"/>
              <w:left w:val="nil"/>
              <w:bottom w:val="nil"/>
              <w:right w:val="nil"/>
            </w:tcBorders>
          </w:tcPr>
          <w:p w14:paraId="67F97C99" w14:textId="77777777" w:rsidR="00CC3084" w:rsidRPr="007212EC" w:rsidRDefault="00CC3084" w:rsidP="00CC3084">
            <w:pPr>
              <w:pStyle w:val="PhotoCaption"/>
              <w:rPr>
                <w:color w:val="000000" w:themeColor="text1"/>
              </w:rPr>
            </w:pPr>
          </w:p>
        </w:tc>
        <w:tc>
          <w:tcPr>
            <w:tcW w:w="228" w:type="dxa"/>
            <w:vMerge/>
            <w:tcBorders>
              <w:left w:val="nil"/>
              <w:bottom w:val="nil"/>
              <w:right w:val="nil"/>
            </w:tcBorders>
            <w:vAlign w:val="center"/>
          </w:tcPr>
          <w:p w14:paraId="692DF67C" w14:textId="77777777" w:rsidR="00CC3084" w:rsidRPr="007212EC" w:rsidRDefault="00CC3084" w:rsidP="00CC3084">
            <w:pPr>
              <w:jc w:val="center"/>
              <w:rPr>
                <w:color w:val="000000" w:themeColor="text1"/>
              </w:rPr>
            </w:pPr>
          </w:p>
        </w:tc>
        <w:tc>
          <w:tcPr>
            <w:tcW w:w="4187" w:type="dxa"/>
            <w:vMerge w:val="restart"/>
            <w:tcBorders>
              <w:top w:val="nil"/>
              <w:left w:val="nil"/>
              <w:bottom w:val="nil"/>
              <w:right w:val="nil"/>
            </w:tcBorders>
            <w:vAlign w:val="center"/>
          </w:tcPr>
          <w:tbl>
            <w:tblPr>
              <w:tblStyle w:val="TableGrid"/>
              <w:tblW w:w="12730" w:type="dxa"/>
              <w:tblLayout w:type="fixed"/>
              <w:tblCellMar>
                <w:left w:w="0" w:type="dxa"/>
                <w:right w:w="0" w:type="dxa"/>
              </w:tblCellMar>
              <w:tblLook w:val="04A0" w:firstRow="1" w:lastRow="0" w:firstColumn="1" w:lastColumn="0" w:noHBand="0" w:noVBand="1"/>
            </w:tblPr>
            <w:tblGrid>
              <w:gridCol w:w="6364"/>
              <w:gridCol w:w="6366"/>
            </w:tblGrid>
            <w:tr w:rsidR="00CC3084" w:rsidRPr="007212EC" w14:paraId="5C9FF4BB" w14:textId="77777777" w:rsidTr="00004D12">
              <w:trPr>
                <w:trHeight w:val="1011"/>
              </w:trPr>
              <w:tc>
                <w:tcPr>
                  <w:tcW w:w="6364" w:type="dxa"/>
                  <w:vMerge w:val="restart"/>
                  <w:tcBorders>
                    <w:top w:val="nil"/>
                    <w:left w:val="nil"/>
                    <w:bottom w:val="nil"/>
                    <w:right w:val="nil"/>
                  </w:tcBorders>
                </w:tcPr>
                <w:p w14:paraId="161FB615" w14:textId="00028E68" w:rsidR="00CC3084" w:rsidRPr="0093560C" w:rsidRDefault="0093560C" w:rsidP="00BF014A">
                  <w:pPr>
                    <w:framePr w:hSpace="180" w:wrap="around" w:vAnchor="page" w:hAnchor="margin" w:y="4041"/>
                  </w:pPr>
                  <w:r w:rsidRPr="0093560C">
                    <w:rPr>
                      <w:noProof/>
                    </w:rPr>
                    <mc:AlternateContent>
                      <mc:Choice Requires="wps">
                        <w:drawing>
                          <wp:anchor distT="0" distB="0" distL="114300" distR="114300" simplePos="0" relativeHeight="251660288" behindDoc="0" locked="0" layoutInCell="1" allowOverlap="1" wp14:anchorId="628B0AB2" wp14:editId="0F08501A">
                            <wp:simplePos x="0" y="0"/>
                            <wp:positionH relativeFrom="column">
                              <wp:posOffset>-103505</wp:posOffset>
                            </wp:positionH>
                            <wp:positionV relativeFrom="paragraph">
                              <wp:posOffset>1079500</wp:posOffset>
                            </wp:positionV>
                            <wp:extent cx="28956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28956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BD34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5pt" to="21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" strokecolor="#4472c4 [3204]" strokeweight=".5pt">
                            <v:stroke joinstyle="miter"/>
                          </v:line>
                        </w:pict>
                      </mc:Fallback>
                    </mc:AlternateContent>
                  </w:r>
                </w:p>
              </w:tc>
              <w:tc>
                <w:tcPr>
                  <w:tcW w:w="6366" w:type="dxa"/>
                  <w:vMerge w:val="restart"/>
                  <w:tcBorders>
                    <w:top w:val="nil"/>
                    <w:left w:val="nil"/>
                    <w:bottom w:val="nil"/>
                    <w:right w:val="nil"/>
                  </w:tcBorders>
                  <w:tcMar>
                    <w:top w:w="144" w:type="dxa"/>
                    <w:left w:w="144" w:type="dxa"/>
                  </w:tcMar>
                </w:tcPr>
                <w:p w14:paraId="5998F947" w14:textId="77777777" w:rsidR="00CC3084" w:rsidRPr="007212EC" w:rsidRDefault="00CC3084" w:rsidP="00BF014A">
                  <w:pPr>
                    <w:framePr w:hSpace="180" w:wrap="around" w:vAnchor="page" w:hAnchor="margin" w:y="4041"/>
                  </w:pPr>
                </w:p>
              </w:tc>
            </w:tr>
            <w:tr w:rsidR="00CC3084" w:rsidRPr="007212EC" w14:paraId="0ABA4E85" w14:textId="77777777" w:rsidTr="00004D12">
              <w:trPr>
                <w:trHeight w:val="625"/>
              </w:trPr>
              <w:tc>
                <w:tcPr>
                  <w:tcW w:w="6364" w:type="dxa"/>
                  <w:vMerge/>
                  <w:tcBorders>
                    <w:top w:val="nil"/>
                    <w:left w:val="nil"/>
                    <w:bottom w:val="nil"/>
                    <w:right w:val="nil"/>
                  </w:tcBorders>
                  <w:tcMar>
                    <w:top w:w="144" w:type="dxa"/>
                    <w:bottom w:w="144" w:type="dxa"/>
                    <w:right w:w="144" w:type="dxa"/>
                  </w:tcMar>
                </w:tcPr>
                <w:p w14:paraId="7F7C7EE6" w14:textId="77777777" w:rsidR="00CC3084" w:rsidRPr="007212EC" w:rsidRDefault="00CC3084" w:rsidP="00BF014A">
                  <w:pPr>
                    <w:framePr w:hSpace="180" w:wrap="around" w:vAnchor="page" w:hAnchor="margin" w:y="4041"/>
                    <w:rPr>
                      <w:color w:val="000000" w:themeColor="text1"/>
                    </w:rPr>
                  </w:pPr>
                </w:p>
              </w:tc>
              <w:tc>
                <w:tcPr>
                  <w:tcW w:w="6366" w:type="dxa"/>
                  <w:vMerge/>
                  <w:tcBorders>
                    <w:top w:val="nil"/>
                    <w:left w:val="nil"/>
                    <w:bottom w:val="nil"/>
                    <w:right w:val="nil"/>
                  </w:tcBorders>
                  <w:tcMar>
                    <w:top w:w="144" w:type="dxa"/>
                    <w:left w:w="144" w:type="dxa"/>
                    <w:bottom w:w="144" w:type="dxa"/>
                  </w:tcMar>
                </w:tcPr>
                <w:p w14:paraId="661D3D01" w14:textId="77777777" w:rsidR="00CC3084" w:rsidRPr="007212EC" w:rsidRDefault="00CC3084" w:rsidP="00BF014A">
                  <w:pPr>
                    <w:framePr w:hSpace="180" w:wrap="around" w:vAnchor="page" w:hAnchor="margin" w:y="4041"/>
                  </w:pPr>
                </w:p>
              </w:tc>
            </w:tr>
          </w:tbl>
          <w:p w14:paraId="28630129" w14:textId="099DF0E9" w:rsidR="003A3639" w:rsidRPr="003A3639" w:rsidRDefault="00B06B16" w:rsidP="0093560C">
            <w:pPr>
              <w:rPr>
                <w:i/>
                <w:iCs/>
                <w:sz w:val="20"/>
                <w:szCs w:val="18"/>
              </w:rPr>
            </w:pPr>
            <w:r>
              <w:rPr>
                <w:i/>
                <w:iCs/>
                <w:sz w:val="20"/>
                <w:szCs w:val="18"/>
              </w:rPr>
              <w:t xml:space="preserve">Established in 1984, the FPPTA is a non-profit educational organization. </w:t>
            </w:r>
            <w:r w:rsidR="003A3639">
              <w:rPr>
                <w:i/>
                <w:iCs/>
                <w:sz w:val="20"/>
                <w:szCs w:val="18"/>
              </w:rPr>
              <w:t>More than half of Flor</w:t>
            </w:r>
            <w:r>
              <w:rPr>
                <w:i/>
                <w:iCs/>
                <w:sz w:val="20"/>
                <w:szCs w:val="18"/>
              </w:rPr>
              <w:t>i</w:t>
            </w:r>
            <w:r w:rsidR="003A3639">
              <w:rPr>
                <w:i/>
                <w:iCs/>
                <w:sz w:val="20"/>
                <w:szCs w:val="18"/>
              </w:rPr>
              <w:t>da’s municipal</w:t>
            </w:r>
            <w:r w:rsidR="0093560C">
              <w:rPr>
                <w:i/>
                <w:iCs/>
                <w:sz w:val="20"/>
                <w:szCs w:val="18"/>
              </w:rPr>
              <w:t xml:space="preserve"> </w:t>
            </w:r>
            <w:r w:rsidR="003A3639">
              <w:rPr>
                <w:i/>
                <w:iCs/>
                <w:sz w:val="20"/>
                <w:szCs w:val="18"/>
              </w:rPr>
              <w:t>pension plans</w:t>
            </w:r>
            <w:r w:rsidR="0093560C">
              <w:rPr>
                <w:i/>
                <w:iCs/>
                <w:sz w:val="20"/>
                <w:szCs w:val="18"/>
              </w:rPr>
              <w:t xml:space="preserve"> </w:t>
            </w:r>
            <w:r w:rsidR="003A3639">
              <w:rPr>
                <w:i/>
                <w:iCs/>
                <w:sz w:val="20"/>
                <w:szCs w:val="18"/>
              </w:rPr>
              <w:t>are FPPTA members.</w:t>
            </w:r>
          </w:p>
        </w:tc>
        <w:tc>
          <w:tcPr>
            <w:tcW w:w="4198" w:type="dxa"/>
            <w:gridSpan w:val="2"/>
            <w:vMerge w:val="restart"/>
            <w:tcBorders>
              <w:top w:val="nil"/>
              <w:left w:val="nil"/>
              <w:bottom w:val="nil"/>
              <w:right w:val="nil"/>
            </w:tcBorders>
            <w:tcMar>
              <w:top w:w="144" w:type="dxa"/>
              <w:left w:w="144" w:type="dxa"/>
            </w:tcMar>
            <w:vAlign w:val="center"/>
          </w:tcPr>
          <w:p w14:paraId="79304840" w14:textId="22D5D2BE" w:rsidR="00CC3084" w:rsidRDefault="00CC3084" w:rsidP="00CC3084"/>
        </w:tc>
      </w:tr>
      <w:tr w:rsidR="00A32593" w:rsidRPr="007212EC" w14:paraId="3BF34BFC" w14:textId="77777777" w:rsidTr="00004D12">
        <w:trPr>
          <w:gridAfter w:val="1"/>
          <w:wAfter w:w="50" w:type="dxa"/>
          <w:trHeight w:val="625"/>
        </w:trPr>
        <w:tc>
          <w:tcPr>
            <w:tcW w:w="4066" w:type="dxa"/>
            <w:gridSpan w:val="2"/>
            <w:tcBorders>
              <w:top w:val="nil"/>
              <w:left w:val="nil"/>
              <w:bottom w:val="nil"/>
              <w:right w:val="nil"/>
            </w:tcBorders>
          </w:tcPr>
          <w:p w14:paraId="06179DA3" w14:textId="6DEC8296" w:rsidR="00CC3084" w:rsidRPr="007212EC" w:rsidRDefault="004D5B9C" w:rsidP="00CC3084">
            <w:pPr>
              <w:pStyle w:val="PhotoCaption"/>
              <w:rPr>
                <w:color w:val="000000" w:themeColor="text1"/>
              </w:rPr>
            </w:pPr>
            <w:r>
              <w:rPr>
                <w:color w:val="000000" w:themeColor="text1"/>
              </w:rPr>
              <mc:AlternateContent>
                <mc:Choice Requires="wps">
                  <w:drawing>
                    <wp:anchor distT="0" distB="0" distL="114300" distR="114300" simplePos="0" relativeHeight="251659264" behindDoc="0" locked="0" layoutInCell="1" allowOverlap="1" wp14:anchorId="1097B590" wp14:editId="4460C7F4">
                      <wp:simplePos x="0" y="0"/>
                      <wp:positionH relativeFrom="column">
                        <wp:posOffset>2152650</wp:posOffset>
                      </wp:positionH>
                      <wp:positionV relativeFrom="paragraph">
                        <wp:posOffset>165735</wp:posOffset>
                      </wp:positionV>
                      <wp:extent cx="3143250" cy="9525"/>
                      <wp:effectExtent l="0" t="0" r="19050" b="28575"/>
                      <wp:wrapNone/>
                      <wp:docPr id="20" name="Straight Connector 20" hidden="1"/>
                      <wp:cNvGraphicFramePr/>
                      <a:graphic xmlns:a="http://schemas.openxmlformats.org/drawingml/2006/main">
                        <a:graphicData uri="http://schemas.microsoft.com/office/word/2010/wordprocessingShape">
                          <wps:wsp>
                            <wps:cNvCnPr/>
                            <wps:spPr>
                              <a:xfrm flipV="1">
                                <a:off x="0" y="0"/>
                                <a:ext cx="31432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B6B49" id="Straight Connector 20" o:spid="_x0000_s1026" style="position:absolute;flip:y;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3.05pt" to="4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" strokecolor="black [3200]" strokeweight="1pt">
                      <v:stroke joinstyle="miter"/>
                    </v:line>
                  </w:pict>
                </mc:Fallback>
              </mc:AlternateContent>
            </w:r>
          </w:p>
        </w:tc>
        <w:tc>
          <w:tcPr>
            <w:tcW w:w="228" w:type="dxa"/>
            <w:vMerge/>
            <w:tcBorders>
              <w:top w:val="nil"/>
              <w:left w:val="nil"/>
              <w:bottom w:val="nil"/>
              <w:right w:val="nil"/>
            </w:tcBorders>
            <w:vAlign w:val="center"/>
          </w:tcPr>
          <w:p w14:paraId="53073288" w14:textId="77777777" w:rsidR="00CC3084" w:rsidRPr="007212EC" w:rsidRDefault="00CC3084" w:rsidP="00CC3084">
            <w:pPr>
              <w:jc w:val="center"/>
              <w:rPr>
                <w:color w:val="000000" w:themeColor="text1"/>
              </w:rPr>
            </w:pPr>
          </w:p>
        </w:tc>
        <w:tc>
          <w:tcPr>
            <w:tcW w:w="4187" w:type="dxa"/>
            <w:vMerge/>
            <w:tcBorders>
              <w:top w:val="nil"/>
              <w:left w:val="nil"/>
              <w:bottom w:val="nil"/>
              <w:right w:val="nil"/>
            </w:tcBorders>
            <w:tcMar>
              <w:top w:w="144" w:type="dxa"/>
              <w:bottom w:w="144" w:type="dxa"/>
              <w:right w:w="144" w:type="dxa"/>
            </w:tcMar>
          </w:tcPr>
          <w:p w14:paraId="562A6DB6" w14:textId="77777777" w:rsidR="00CC3084" w:rsidRPr="007212EC" w:rsidRDefault="00CC3084" w:rsidP="00CC3084">
            <w:pPr>
              <w:rPr>
                <w:color w:val="000000" w:themeColor="text1"/>
              </w:rPr>
            </w:pPr>
          </w:p>
        </w:tc>
        <w:tc>
          <w:tcPr>
            <w:tcW w:w="4198" w:type="dxa"/>
            <w:gridSpan w:val="2"/>
            <w:vMerge/>
            <w:tcBorders>
              <w:top w:val="nil"/>
              <w:left w:val="nil"/>
              <w:bottom w:val="nil"/>
              <w:right w:val="nil"/>
            </w:tcBorders>
            <w:tcMar>
              <w:top w:w="144" w:type="dxa"/>
              <w:left w:w="144" w:type="dxa"/>
              <w:bottom w:w="144" w:type="dxa"/>
            </w:tcMar>
          </w:tcPr>
          <w:p w14:paraId="34BFC4F2" w14:textId="77777777" w:rsidR="00CC3084" w:rsidRPr="007212EC" w:rsidRDefault="00CC3084" w:rsidP="00CC3084"/>
        </w:tc>
      </w:tr>
    </w:tbl>
    <w:p w14:paraId="2ACCD907" w14:textId="67906E49" w:rsidR="00CC2933" w:rsidRDefault="00004D12" w:rsidP="00CC3084">
      <w:pPr>
        <w:rPr>
          <w:color w:val="000000" w:themeColor="text1"/>
        </w:rPr>
      </w:pPr>
      <w:r>
        <w:rPr>
          <w:noProof/>
        </w:rPr>
        <w:drawing>
          <wp:inline distT="0" distB="0" distL="0" distR="0" wp14:anchorId="620FAAB4" wp14:editId="5745B458">
            <wp:extent cx="1634362" cy="147637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284" cy="1536828"/>
                    </a:xfrm>
                    <a:prstGeom prst="rect">
                      <a:avLst/>
                    </a:prstGeom>
                    <a:noFill/>
                    <a:ln>
                      <a:noFill/>
                    </a:ln>
                  </pic:spPr>
                </pic:pic>
              </a:graphicData>
            </a:graphic>
          </wp:inline>
        </w:drawing>
      </w:r>
    </w:p>
    <w:sectPr w:rsidR="00CC2933"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C4DD" w14:textId="77777777" w:rsidR="0014594D" w:rsidRDefault="0014594D" w:rsidP="00554336">
      <w:pPr>
        <w:spacing w:after="0"/>
      </w:pPr>
      <w:r>
        <w:separator/>
      </w:r>
    </w:p>
  </w:endnote>
  <w:endnote w:type="continuationSeparator" w:id="0">
    <w:p w14:paraId="51F415AD" w14:textId="77777777" w:rsidR="0014594D" w:rsidRDefault="0014594D"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47A9" w14:textId="77777777" w:rsidR="0014594D" w:rsidRDefault="0014594D" w:rsidP="00554336">
      <w:pPr>
        <w:spacing w:after="0"/>
      </w:pPr>
      <w:r>
        <w:separator/>
      </w:r>
    </w:p>
  </w:footnote>
  <w:footnote w:type="continuationSeparator" w:id="0">
    <w:p w14:paraId="6FED44A3" w14:textId="77777777" w:rsidR="0014594D" w:rsidRDefault="0014594D"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28E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26E41"/>
    <w:multiLevelType w:val="hybridMultilevel"/>
    <w:tmpl w:val="032C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88"/>
    <w:rsid w:val="00004D12"/>
    <w:rsid w:val="000064BF"/>
    <w:rsid w:val="000139C1"/>
    <w:rsid w:val="00015939"/>
    <w:rsid w:val="0001620C"/>
    <w:rsid w:val="000404C3"/>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5310"/>
    <w:rsid w:val="000E707E"/>
    <w:rsid w:val="000F13BE"/>
    <w:rsid w:val="000F3105"/>
    <w:rsid w:val="0010319C"/>
    <w:rsid w:val="001119CD"/>
    <w:rsid w:val="00120383"/>
    <w:rsid w:val="00132CE5"/>
    <w:rsid w:val="00133D55"/>
    <w:rsid w:val="001432CC"/>
    <w:rsid w:val="0014594D"/>
    <w:rsid w:val="001472EB"/>
    <w:rsid w:val="0015557C"/>
    <w:rsid w:val="00155BB5"/>
    <w:rsid w:val="00155F6C"/>
    <w:rsid w:val="001627B3"/>
    <w:rsid w:val="0017372B"/>
    <w:rsid w:val="00173FCF"/>
    <w:rsid w:val="00174B98"/>
    <w:rsid w:val="00175772"/>
    <w:rsid w:val="00196657"/>
    <w:rsid w:val="001A09CB"/>
    <w:rsid w:val="001A1751"/>
    <w:rsid w:val="001A5A0A"/>
    <w:rsid w:val="001A5C71"/>
    <w:rsid w:val="001C50D0"/>
    <w:rsid w:val="001D517B"/>
    <w:rsid w:val="001D7797"/>
    <w:rsid w:val="001E28C1"/>
    <w:rsid w:val="001F5567"/>
    <w:rsid w:val="001F62F5"/>
    <w:rsid w:val="001F657F"/>
    <w:rsid w:val="00203933"/>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87D7F"/>
    <w:rsid w:val="003A2F2B"/>
    <w:rsid w:val="003A3639"/>
    <w:rsid w:val="003A4443"/>
    <w:rsid w:val="003A67B1"/>
    <w:rsid w:val="003B3B75"/>
    <w:rsid w:val="003C118D"/>
    <w:rsid w:val="003C148F"/>
    <w:rsid w:val="003C252E"/>
    <w:rsid w:val="003C4ACB"/>
    <w:rsid w:val="003C55A4"/>
    <w:rsid w:val="003E0014"/>
    <w:rsid w:val="003E07AA"/>
    <w:rsid w:val="003E759E"/>
    <w:rsid w:val="003F4C0F"/>
    <w:rsid w:val="003F544A"/>
    <w:rsid w:val="00415A82"/>
    <w:rsid w:val="0043647B"/>
    <w:rsid w:val="00446AA6"/>
    <w:rsid w:val="004569B8"/>
    <w:rsid w:val="00460859"/>
    <w:rsid w:val="004831AD"/>
    <w:rsid w:val="004B4571"/>
    <w:rsid w:val="004C3DF2"/>
    <w:rsid w:val="004D1721"/>
    <w:rsid w:val="004D1817"/>
    <w:rsid w:val="004D29E6"/>
    <w:rsid w:val="004D33E8"/>
    <w:rsid w:val="004D4C02"/>
    <w:rsid w:val="004D5B9C"/>
    <w:rsid w:val="004E0C2A"/>
    <w:rsid w:val="004E63BA"/>
    <w:rsid w:val="004F0488"/>
    <w:rsid w:val="004F281F"/>
    <w:rsid w:val="004F74DD"/>
    <w:rsid w:val="004F7974"/>
    <w:rsid w:val="00502068"/>
    <w:rsid w:val="005056FC"/>
    <w:rsid w:val="00507968"/>
    <w:rsid w:val="00527FE0"/>
    <w:rsid w:val="005330B3"/>
    <w:rsid w:val="0053589F"/>
    <w:rsid w:val="0054348D"/>
    <w:rsid w:val="00543C35"/>
    <w:rsid w:val="00554336"/>
    <w:rsid w:val="00566C26"/>
    <w:rsid w:val="005706B7"/>
    <w:rsid w:val="00575C13"/>
    <w:rsid w:val="00585904"/>
    <w:rsid w:val="00590DC3"/>
    <w:rsid w:val="005956D6"/>
    <w:rsid w:val="005A1800"/>
    <w:rsid w:val="005A78B4"/>
    <w:rsid w:val="005B3643"/>
    <w:rsid w:val="005B7C41"/>
    <w:rsid w:val="005C4A4D"/>
    <w:rsid w:val="005C502F"/>
    <w:rsid w:val="005E1B08"/>
    <w:rsid w:val="005E2DC0"/>
    <w:rsid w:val="005F2B1B"/>
    <w:rsid w:val="005F415C"/>
    <w:rsid w:val="005F4830"/>
    <w:rsid w:val="00622D79"/>
    <w:rsid w:val="00624F21"/>
    <w:rsid w:val="00630CF2"/>
    <w:rsid w:val="006515F3"/>
    <w:rsid w:val="006608C8"/>
    <w:rsid w:val="00664133"/>
    <w:rsid w:val="00667FF3"/>
    <w:rsid w:val="006926DA"/>
    <w:rsid w:val="00692D2D"/>
    <w:rsid w:val="006931FE"/>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20D2"/>
    <w:rsid w:val="00807716"/>
    <w:rsid w:val="00813EA3"/>
    <w:rsid w:val="00826103"/>
    <w:rsid w:val="00830DC5"/>
    <w:rsid w:val="0083111F"/>
    <w:rsid w:val="0084304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1BB"/>
    <w:rsid w:val="008D6766"/>
    <w:rsid w:val="008D757B"/>
    <w:rsid w:val="008E0A2E"/>
    <w:rsid w:val="008F75D6"/>
    <w:rsid w:val="009010EB"/>
    <w:rsid w:val="009047BC"/>
    <w:rsid w:val="009151EB"/>
    <w:rsid w:val="0091599E"/>
    <w:rsid w:val="00915F67"/>
    <w:rsid w:val="0093560C"/>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2593"/>
    <w:rsid w:val="00A36549"/>
    <w:rsid w:val="00A46549"/>
    <w:rsid w:val="00A491B1"/>
    <w:rsid w:val="00A61945"/>
    <w:rsid w:val="00A70242"/>
    <w:rsid w:val="00A74923"/>
    <w:rsid w:val="00A7758D"/>
    <w:rsid w:val="00A85400"/>
    <w:rsid w:val="00AA5FE5"/>
    <w:rsid w:val="00AB2AA3"/>
    <w:rsid w:val="00AC117E"/>
    <w:rsid w:val="00AE4980"/>
    <w:rsid w:val="00AF2EDF"/>
    <w:rsid w:val="00AF553C"/>
    <w:rsid w:val="00AF6DF5"/>
    <w:rsid w:val="00B06B16"/>
    <w:rsid w:val="00B07394"/>
    <w:rsid w:val="00B1023C"/>
    <w:rsid w:val="00B22F0C"/>
    <w:rsid w:val="00B3354A"/>
    <w:rsid w:val="00B35BC7"/>
    <w:rsid w:val="00B40B05"/>
    <w:rsid w:val="00B4611F"/>
    <w:rsid w:val="00B523EA"/>
    <w:rsid w:val="00B53541"/>
    <w:rsid w:val="00B53FB6"/>
    <w:rsid w:val="00B767C0"/>
    <w:rsid w:val="00B93C89"/>
    <w:rsid w:val="00B96BE8"/>
    <w:rsid w:val="00BA1EAC"/>
    <w:rsid w:val="00BA563E"/>
    <w:rsid w:val="00BC1947"/>
    <w:rsid w:val="00BC6155"/>
    <w:rsid w:val="00BC64EC"/>
    <w:rsid w:val="00BD5C4E"/>
    <w:rsid w:val="00BD7BDE"/>
    <w:rsid w:val="00BE07C1"/>
    <w:rsid w:val="00BE1E30"/>
    <w:rsid w:val="00BF014A"/>
    <w:rsid w:val="00BF409B"/>
    <w:rsid w:val="00BF5EB9"/>
    <w:rsid w:val="00C0323D"/>
    <w:rsid w:val="00C07E8F"/>
    <w:rsid w:val="00C11F17"/>
    <w:rsid w:val="00C30B77"/>
    <w:rsid w:val="00C57F22"/>
    <w:rsid w:val="00C6249E"/>
    <w:rsid w:val="00C63DAD"/>
    <w:rsid w:val="00C67ED5"/>
    <w:rsid w:val="00C70588"/>
    <w:rsid w:val="00C71E9D"/>
    <w:rsid w:val="00C76D20"/>
    <w:rsid w:val="00C801BA"/>
    <w:rsid w:val="00C8086C"/>
    <w:rsid w:val="00C80916"/>
    <w:rsid w:val="00C85B4A"/>
    <w:rsid w:val="00C90E99"/>
    <w:rsid w:val="00C90FFE"/>
    <w:rsid w:val="00C94726"/>
    <w:rsid w:val="00C95CCD"/>
    <w:rsid w:val="00CB0CB1"/>
    <w:rsid w:val="00CB19CE"/>
    <w:rsid w:val="00CB4217"/>
    <w:rsid w:val="00CC2933"/>
    <w:rsid w:val="00CC3084"/>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544A"/>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97F89"/>
    <w:rsid w:val="00EA5F38"/>
    <w:rsid w:val="00EA7977"/>
    <w:rsid w:val="00EB7C0B"/>
    <w:rsid w:val="00EB7DD5"/>
    <w:rsid w:val="00ED3181"/>
    <w:rsid w:val="00ED7448"/>
    <w:rsid w:val="00EE7D8B"/>
    <w:rsid w:val="00EF0035"/>
    <w:rsid w:val="00EF1AFC"/>
    <w:rsid w:val="00F0187D"/>
    <w:rsid w:val="00F06463"/>
    <w:rsid w:val="00F23030"/>
    <w:rsid w:val="00F239F3"/>
    <w:rsid w:val="00F25E08"/>
    <w:rsid w:val="00F31919"/>
    <w:rsid w:val="00F47AAC"/>
    <w:rsid w:val="00F52FB4"/>
    <w:rsid w:val="00F62B75"/>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22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pPr>
    <w:rPr>
      <w:rFonts w:asciiTheme="majorHAnsi" w:hAnsiTheme="majorHAnsi"/>
      <w:sz w:val="32"/>
    </w:rPr>
  </w:style>
  <w:style w:type="paragraph" w:customStyle="1" w:styleId="SmallArticleSubtitle">
    <w:name w:val="Small Article Subtitle"/>
    <w:basedOn w:val="Normal"/>
    <w:qFormat/>
    <w:rsid w:val="00F66772"/>
    <w:pPr>
      <w:spacing w:after="0"/>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pPr>
    <w:rPr>
      <w:sz w:val="32"/>
    </w:rPr>
  </w:style>
  <w:style w:type="paragraph" w:customStyle="1" w:styleId="LargeArticleTitle">
    <w:name w:val="Large Article Title"/>
    <w:basedOn w:val="Normal"/>
    <w:next w:val="Normal"/>
    <w:qFormat/>
    <w:rsid w:val="00727546"/>
    <w:pPr>
      <w:spacing w:after="0"/>
    </w:pPr>
    <w:rPr>
      <w:rFonts w:asciiTheme="majorHAnsi" w:hAnsiTheme="majorHAnsi"/>
      <w:sz w:val="52"/>
    </w:rPr>
  </w:style>
  <w:style w:type="paragraph" w:customStyle="1" w:styleId="LargeArticleSubtitle">
    <w:name w:val="Large Article Subtitle"/>
    <w:basedOn w:val="Normal"/>
    <w:next w:val="Normal"/>
    <w:qFormat/>
    <w:rsid w:val="00727546"/>
    <w:pPr>
      <w:spacing w:after="0"/>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ListParagraph">
    <w:name w:val="List Paragraph"/>
    <w:basedOn w:val="Normal"/>
    <w:uiPriority w:val="34"/>
    <w:qFormat/>
    <w:rsid w:val="005C4A4D"/>
    <w:pPr>
      <w:spacing w:after="200"/>
      <w:ind w:left="720"/>
      <w:contextualSpacing/>
    </w:pPr>
    <w:rPr>
      <w:sz w:val="22"/>
    </w:rPr>
  </w:style>
  <w:style w:type="paragraph" w:styleId="ListBullet">
    <w:name w:val="List Bullet"/>
    <w:basedOn w:val="Normal"/>
    <w:uiPriority w:val="99"/>
    <w:semiHidden/>
    <w:unhideWhenUsed/>
    <w:rsid w:val="004F797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er.vimeo.com/video/518285444?app_id=12296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wnloads\tf11279482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tf11279482_win32</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2021-04-26T19:43:00Z</dcterms:created>
  <dcterms:modified xsi:type="dcterms:W3CDTF">2021-07-27T15:00:00Z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